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175783" w:rsidRDefault="00175783" w:rsidP="005967F2">
      <w:pPr>
        <w:spacing w:after="0"/>
        <w:jc w:val="center"/>
      </w:pPr>
    </w:p>
    <w:p w:rsidR="00D53B8C" w:rsidRDefault="000F53A3" w:rsidP="005967F2">
      <w:pPr>
        <w:spacing w:after="0"/>
        <w:jc w:val="center"/>
      </w:pPr>
      <w:r>
        <w:t>Work Environment</w:t>
      </w:r>
    </w:p>
    <w:p w:rsidR="00790ECD" w:rsidRDefault="00175783" w:rsidP="005967F2">
      <w:pPr>
        <w:spacing w:after="0"/>
        <w:jc w:val="center"/>
      </w:pPr>
      <w:r>
        <w:t>Student’s Name</w:t>
      </w:r>
    </w:p>
    <w:p w:rsidR="00175783" w:rsidRDefault="00175783" w:rsidP="005967F2">
      <w:pPr>
        <w:spacing w:after="0"/>
        <w:jc w:val="center"/>
      </w:pPr>
      <w:r>
        <w:t>Institution</w:t>
      </w:r>
    </w:p>
    <w:p w:rsidR="005E1C46" w:rsidRDefault="005E1C46" w:rsidP="005967F2">
      <w:pPr>
        <w:spacing w:after="0"/>
        <w:jc w:val="center"/>
      </w:pPr>
      <w:r>
        <w:t>Date</w:t>
      </w:r>
    </w:p>
    <w:p w:rsidR="00175783" w:rsidRDefault="00175783" w:rsidP="005967F2">
      <w:pPr>
        <w:spacing w:after="0"/>
      </w:pPr>
      <w:r>
        <w:br w:type="page"/>
      </w:r>
    </w:p>
    <w:p w:rsidR="000F53A3" w:rsidRDefault="000F53A3" w:rsidP="005967F2">
      <w:pPr>
        <w:spacing w:after="0"/>
        <w:ind w:firstLine="720"/>
        <w:jc w:val="center"/>
      </w:pPr>
      <w:r>
        <w:lastRenderedPageBreak/>
        <w:t>Work Environment</w:t>
      </w:r>
    </w:p>
    <w:p w:rsidR="000F53A3" w:rsidRPr="00D360C2" w:rsidRDefault="000F53A3" w:rsidP="005967F2">
      <w:pPr>
        <w:spacing w:after="0"/>
        <w:rPr>
          <w:b/>
        </w:rPr>
      </w:pPr>
      <w:r w:rsidRPr="00D360C2">
        <w:rPr>
          <w:b/>
        </w:rPr>
        <w:t xml:space="preserve">Organizational </w:t>
      </w:r>
      <w:r w:rsidR="00D360C2" w:rsidRPr="00D360C2">
        <w:rPr>
          <w:b/>
        </w:rPr>
        <w:t xml:space="preserve">Practices </w:t>
      </w:r>
      <w:r w:rsidR="00D360C2">
        <w:rPr>
          <w:b/>
        </w:rPr>
        <w:t>t</w:t>
      </w:r>
      <w:r w:rsidR="00D360C2" w:rsidRPr="00D360C2">
        <w:rPr>
          <w:b/>
        </w:rPr>
        <w:t>hat Promote and Hinder Self-Care and Wellness</w:t>
      </w:r>
    </w:p>
    <w:p w:rsidR="000F53A3" w:rsidRDefault="000F53A3" w:rsidP="005967F2">
      <w:pPr>
        <w:spacing w:after="0"/>
        <w:ind w:firstLine="720"/>
        <w:jc w:val="both"/>
      </w:pPr>
      <w:r>
        <w:t>Encouraging the use of health insurance amongst the workers in an organization is useful in promoting self-care as well as wellness</w:t>
      </w:r>
      <w:r w:rsidRPr="00656679">
        <w:rPr>
          <w:szCs w:val="24"/>
        </w:rPr>
        <w:t xml:space="preserve"> </w:t>
      </w:r>
      <w:r>
        <w:rPr>
          <w:szCs w:val="24"/>
        </w:rPr>
        <w:t>(</w:t>
      </w:r>
      <w:r w:rsidRPr="008407DC">
        <w:rPr>
          <w:szCs w:val="24"/>
        </w:rPr>
        <w:t>Bloomquist</w:t>
      </w:r>
      <w:r>
        <w:rPr>
          <w:szCs w:val="24"/>
        </w:rPr>
        <w:t xml:space="preserve"> Et al., 2015)</w:t>
      </w:r>
      <w:r>
        <w:t>. Insurance plans promoted by organizations have been integral in promoting the benefits of health to workers. The employees are therefore able to access the preventive he</w:t>
      </w:r>
      <w:bookmarkStart w:id="0" w:name="_GoBack"/>
      <w:bookmarkEnd w:id="0"/>
      <w:r>
        <w:t>alth services that are offered to them. The practice of offering healthcare insurance plans to all employees within an organization is considered to be productive on their self-care. On the other hand, the practice of creating a lot of work for employees that cause burnout leads to reduced healthcare and wellness. The act of creating a lot of work to be done by workers in their various departments leads to psychological stress as a result of the burnout. The process of creating a lot of work without proper balancing normally leads to cases of trauma on workers</w:t>
      </w:r>
      <w:r w:rsidRPr="00C0694F">
        <w:rPr>
          <w:szCs w:val="24"/>
        </w:rPr>
        <w:t xml:space="preserve"> </w:t>
      </w:r>
      <w:r>
        <w:rPr>
          <w:szCs w:val="24"/>
        </w:rPr>
        <w:t>(Bohman Et al., 2017)</w:t>
      </w:r>
      <w:r>
        <w:t>. Too much work without any form of balancing between leisure and job activities tends to lead to cases of stress being created to the employees.</w:t>
      </w:r>
    </w:p>
    <w:p w:rsidR="000F53A3" w:rsidRPr="005967F2" w:rsidRDefault="000F53A3" w:rsidP="005967F2">
      <w:pPr>
        <w:spacing w:after="0"/>
        <w:ind w:firstLine="720"/>
        <w:rPr>
          <w:b/>
        </w:rPr>
      </w:pPr>
      <w:r w:rsidRPr="005967F2">
        <w:rPr>
          <w:b/>
        </w:rPr>
        <w:t xml:space="preserve">Self-care and </w:t>
      </w:r>
      <w:r w:rsidR="005967F2" w:rsidRPr="005967F2">
        <w:rPr>
          <w:b/>
        </w:rPr>
        <w:t xml:space="preserve">Trauma Implications </w:t>
      </w:r>
      <w:r w:rsidRPr="005967F2">
        <w:rPr>
          <w:b/>
        </w:rPr>
        <w:t>of each</w:t>
      </w:r>
    </w:p>
    <w:p w:rsidR="000F53A3" w:rsidRDefault="000F53A3" w:rsidP="005967F2">
      <w:pPr>
        <w:spacing w:after="0"/>
        <w:ind w:firstLine="720"/>
        <w:jc w:val="both"/>
      </w:pPr>
      <w:r>
        <w:t>The use of insurance plans created for all the workers is significant in making sure self-care management is increased. Most workers would love to work in an environment where their health concerns are being attended to eliminate any form of trauma that may take place. Implications of trauma that may attack employees would be reduced by regular health assurance benefits that have been created to them. Moreover, the workers would love to work in organizations that reserve proper medical benefits to them to assist in improving their self-care</w:t>
      </w:r>
      <w:r w:rsidRPr="00625FC5">
        <w:rPr>
          <w:szCs w:val="24"/>
        </w:rPr>
        <w:t xml:space="preserve"> </w:t>
      </w:r>
      <w:r>
        <w:rPr>
          <w:szCs w:val="24"/>
        </w:rPr>
        <w:t>(</w:t>
      </w:r>
      <w:r w:rsidRPr="008407DC">
        <w:rPr>
          <w:szCs w:val="24"/>
        </w:rPr>
        <w:t>Grise</w:t>
      </w:r>
      <w:r>
        <w:rPr>
          <w:szCs w:val="24"/>
        </w:rPr>
        <w:t xml:space="preserve"> Et al., 2018)</w:t>
      </w:r>
      <w:r>
        <w:t xml:space="preserve">. On the contrary, the practice of creating a lot of work that causes burnout to workers leads to cause of trauma and stress. The workers self-care is not been taken care of properly leading to a reduced sense of health creation in their lives. This leads to increased cases </w:t>
      </w:r>
      <w:r>
        <w:lastRenderedPageBreak/>
        <w:t>of depression which influence them to engage in suicides.  The levels of trauma in employees are increased by a working environment that causes burnout with little self-care activities being promoted.</w:t>
      </w:r>
    </w:p>
    <w:p w:rsidR="000F53A3" w:rsidRPr="005967F2" w:rsidRDefault="000F53A3" w:rsidP="005967F2">
      <w:pPr>
        <w:spacing w:after="0"/>
        <w:ind w:firstLine="720"/>
        <w:rPr>
          <w:b/>
        </w:rPr>
      </w:pPr>
      <w:r w:rsidRPr="005967F2">
        <w:rPr>
          <w:b/>
        </w:rPr>
        <w:t xml:space="preserve">Five </w:t>
      </w:r>
      <w:r w:rsidR="005967F2" w:rsidRPr="005967F2">
        <w:rPr>
          <w:b/>
        </w:rPr>
        <w:t>Ways Counseling Centers Can Promote a Healthy Work Environment</w:t>
      </w:r>
    </w:p>
    <w:p w:rsidR="000F53A3" w:rsidRDefault="000F53A3" w:rsidP="005967F2">
      <w:pPr>
        <w:spacing w:after="0"/>
        <w:ind w:firstLine="720"/>
        <w:jc w:val="both"/>
      </w:pPr>
      <w:r>
        <w:t>Foremost, counseling can help in creating a safe environment in which employees can talk about their problems. For instance, a depressed worker can share his problems with colleagues and get a methodology of being helped. The problems of every employee can be attended to and get solved systematically. Secondly, they reduce employee absenteeism in the place of work. The employees are motivated to work without any problem hence encouraged to attend the job at all times</w:t>
      </w:r>
      <w:r w:rsidRPr="00811669">
        <w:rPr>
          <w:szCs w:val="24"/>
        </w:rPr>
        <w:t xml:space="preserve"> </w:t>
      </w:r>
      <w:r>
        <w:rPr>
          <w:szCs w:val="24"/>
        </w:rPr>
        <w:t>(</w:t>
      </w:r>
      <w:r w:rsidRPr="008407DC">
        <w:rPr>
          <w:szCs w:val="24"/>
        </w:rPr>
        <w:t>Meany</w:t>
      </w:r>
      <w:r>
        <w:rPr>
          <w:szCs w:val="24"/>
        </w:rPr>
        <w:t xml:space="preserve"> Et al., 2018)</w:t>
      </w:r>
      <w:r>
        <w:t>. Thirdly, the employees can understand one another in the place of work without any form of arguments and fights being noted. Additionally, easy access to counselors within the work environment is also useful. This would ensure every worker with a problem is counseled immediately. Lastly, the process of looking at everything positively is effective in providing solutions that workers go through.</w:t>
      </w:r>
    </w:p>
    <w:p w:rsidR="000F53A3" w:rsidRDefault="000F53A3" w:rsidP="005967F2">
      <w:pPr>
        <w:spacing w:after="0"/>
        <w:ind w:firstLine="720"/>
        <w:jc w:val="both"/>
      </w:pPr>
      <w:r>
        <w:t>The workplace would develop a system of understanding the emotions of employees. This would be significant in increasing the self-esteem of workers in their respective work environments. Leaders within an organization can determine the rewards of their efforts through the number of positive employees within their working environment. The high number of employees would show the leaders a great number of efforts they placed on counseling.</w:t>
      </w:r>
    </w:p>
    <w:p w:rsidR="005967F2" w:rsidRDefault="005967F2" w:rsidP="005967F2">
      <w:pPr>
        <w:spacing w:after="0"/>
      </w:pPr>
      <w:r>
        <w:br w:type="page"/>
      </w:r>
    </w:p>
    <w:p w:rsidR="000F53A3" w:rsidRDefault="000F53A3" w:rsidP="005967F2">
      <w:pPr>
        <w:spacing w:after="0"/>
        <w:ind w:firstLine="720"/>
        <w:jc w:val="center"/>
      </w:pPr>
      <w:r>
        <w:lastRenderedPageBreak/>
        <w:t>References</w:t>
      </w:r>
    </w:p>
    <w:p w:rsidR="000F53A3" w:rsidRPr="008407DC" w:rsidRDefault="000F53A3" w:rsidP="005967F2">
      <w:pPr>
        <w:spacing w:after="0"/>
        <w:ind w:left="720" w:hanging="720"/>
        <w:rPr>
          <w:szCs w:val="24"/>
        </w:rPr>
      </w:pPr>
      <w:r w:rsidRPr="008407DC">
        <w:rPr>
          <w:szCs w:val="24"/>
        </w:rPr>
        <w:t xml:space="preserve">Bloomquist, K. R., Wood, L., Friedmeyer-Trainor, K., &amp; Kim, H. W. (2015). Self-care and professional quality of life: Predictive factors among MSW practitioners. </w:t>
      </w:r>
      <w:r w:rsidRPr="008407DC">
        <w:rPr>
          <w:i/>
          <w:iCs/>
          <w:szCs w:val="24"/>
        </w:rPr>
        <w:t>Advances in Social Work</w:t>
      </w:r>
      <w:r w:rsidRPr="008407DC">
        <w:rPr>
          <w:szCs w:val="24"/>
        </w:rPr>
        <w:t xml:space="preserve">, </w:t>
      </w:r>
      <w:r w:rsidRPr="008407DC">
        <w:rPr>
          <w:i/>
          <w:iCs/>
          <w:szCs w:val="24"/>
        </w:rPr>
        <w:t>16</w:t>
      </w:r>
      <w:r w:rsidRPr="008407DC">
        <w:rPr>
          <w:szCs w:val="24"/>
        </w:rPr>
        <w:t>(2), 292-311.</w:t>
      </w:r>
    </w:p>
    <w:p w:rsidR="000F53A3" w:rsidRPr="008407DC" w:rsidRDefault="000F53A3" w:rsidP="005967F2">
      <w:pPr>
        <w:spacing w:after="0"/>
        <w:ind w:left="720" w:hanging="720"/>
        <w:rPr>
          <w:szCs w:val="24"/>
        </w:rPr>
      </w:pPr>
      <w:r w:rsidRPr="008407DC">
        <w:rPr>
          <w:szCs w:val="24"/>
        </w:rPr>
        <w:t xml:space="preserve">Bohman, B., Dyrbye, L., Sinsky, C., Linzer, M., Olson, K., Babbott, S., &amp; Trockel, M. (2017). Physician well-being: the reciprocity of practice efficiency, culture of wellness, and personal resilience. </w:t>
      </w:r>
      <w:r w:rsidRPr="008407DC">
        <w:rPr>
          <w:i/>
          <w:iCs/>
          <w:szCs w:val="24"/>
        </w:rPr>
        <w:t>NEJM Catalyst</w:t>
      </w:r>
      <w:r w:rsidRPr="008407DC">
        <w:rPr>
          <w:szCs w:val="24"/>
        </w:rPr>
        <w:t>.</w:t>
      </w:r>
    </w:p>
    <w:p w:rsidR="000F53A3" w:rsidRPr="008407DC" w:rsidRDefault="000F53A3" w:rsidP="005967F2">
      <w:pPr>
        <w:spacing w:after="0"/>
        <w:ind w:left="720" w:hanging="720"/>
        <w:rPr>
          <w:szCs w:val="24"/>
        </w:rPr>
      </w:pPr>
      <w:r w:rsidRPr="008407DC">
        <w:rPr>
          <w:szCs w:val="24"/>
        </w:rPr>
        <w:t xml:space="preserve">Grise-Owens, E., Miller, J. J., Escobar-Ratliff, L., &amp; George, N. (2018). Teaching note—teaching self-care and wellness as a professional practice skill: A curricular case example. </w:t>
      </w:r>
      <w:r w:rsidRPr="008407DC">
        <w:rPr>
          <w:i/>
          <w:iCs/>
          <w:szCs w:val="24"/>
        </w:rPr>
        <w:t>Journal of Social Work Education</w:t>
      </w:r>
      <w:r w:rsidRPr="008407DC">
        <w:rPr>
          <w:szCs w:val="24"/>
        </w:rPr>
        <w:t xml:space="preserve">, </w:t>
      </w:r>
      <w:r w:rsidRPr="008407DC">
        <w:rPr>
          <w:i/>
          <w:iCs/>
          <w:szCs w:val="24"/>
        </w:rPr>
        <w:t>54</w:t>
      </w:r>
      <w:r w:rsidRPr="008407DC">
        <w:rPr>
          <w:szCs w:val="24"/>
        </w:rPr>
        <w:t>(1), 180-186.</w:t>
      </w:r>
    </w:p>
    <w:p w:rsidR="000F53A3" w:rsidRPr="008407DC" w:rsidRDefault="000F53A3" w:rsidP="005967F2">
      <w:pPr>
        <w:spacing w:after="0"/>
        <w:ind w:left="720" w:hanging="720"/>
        <w:rPr>
          <w:szCs w:val="24"/>
        </w:rPr>
      </w:pPr>
      <w:r w:rsidRPr="008407DC">
        <w:rPr>
          <w:szCs w:val="24"/>
        </w:rPr>
        <w:t xml:space="preserve">Meany-Walen, K. K., Cobie-Nuss, A., Eittreim, E., Teeling, S., Wilson, S., &amp; Xander, C. (2018). Play therapists’ perceptions of wellness and self-care practices. </w:t>
      </w:r>
      <w:r w:rsidRPr="008407DC">
        <w:rPr>
          <w:i/>
          <w:iCs/>
          <w:szCs w:val="24"/>
        </w:rPr>
        <w:t>International Journal of Play Therapy</w:t>
      </w:r>
      <w:r w:rsidRPr="008407DC">
        <w:rPr>
          <w:szCs w:val="24"/>
        </w:rPr>
        <w:t xml:space="preserve">, </w:t>
      </w:r>
      <w:r w:rsidRPr="008407DC">
        <w:rPr>
          <w:i/>
          <w:iCs/>
          <w:szCs w:val="24"/>
        </w:rPr>
        <w:t>27</w:t>
      </w:r>
      <w:r w:rsidRPr="008407DC">
        <w:rPr>
          <w:szCs w:val="24"/>
        </w:rPr>
        <w:t>(3), 176.</w:t>
      </w:r>
    </w:p>
    <w:p w:rsidR="000F53A3" w:rsidRPr="00B71CAC" w:rsidRDefault="000F53A3" w:rsidP="005967F2">
      <w:pPr>
        <w:spacing w:after="0"/>
        <w:ind w:firstLine="720"/>
      </w:pPr>
    </w:p>
    <w:p w:rsidR="001E78AD" w:rsidRPr="00D77F2F" w:rsidRDefault="001E78AD" w:rsidP="005967F2">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A5A" w:rsidRDefault="00485A5A" w:rsidP="00790ECD">
      <w:pPr>
        <w:spacing w:after="0" w:line="240" w:lineRule="auto"/>
      </w:pPr>
      <w:r>
        <w:separator/>
      </w:r>
    </w:p>
  </w:endnote>
  <w:endnote w:type="continuationSeparator" w:id="0">
    <w:p w:rsidR="00485A5A" w:rsidRDefault="00485A5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A5A" w:rsidRDefault="00485A5A" w:rsidP="00790ECD">
      <w:pPr>
        <w:spacing w:after="0" w:line="240" w:lineRule="auto"/>
      </w:pPr>
      <w:r>
        <w:separator/>
      </w:r>
    </w:p>
  </w:footnote>
  <w:footnote w:type="continuationSeparator" w:id="0">
    <w:p w:rsidR="00485A5A" w:rsidRDefault="00485A5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F53A3">
        <w:pPr>
          <w:pStyle w:val="Header"/>
          <w:jc w:val="right"/>
        </w:pPr>
        <w:r>
          <w:t>WORK ENVIRONMENT</w:t>
        </w:r>
        <w:r w:rsidR="003A2F85">
          <w:tab/>
        </w:r>
        <w:r w:rsidR="003A2F85">
          <w:tab/>
        </w:r>
        <w:r w:rsidR="00052DA2">
          <w:fldChar w:fldCharType="begin"/>
        </w:r>
        <w:r w:rsidR="00052DA2">
          <w:instrText xml:space="preserve"> PAGE   \* MERGEFORMAT </w:instrText>
        </w:r>
        <w:r w:rsidR="00052DA2">
          <w:fldChar w:fldCharType="separate"/>
        </w:r>
        <w:r w:rsidR="005967F2">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090D16">
      <w:t>g Head: WORK ENVIRONMENT</w:t>
    </w:r>
    <w:r>
      <w:tab/>
    </w:r>
    <w:r w:rsidR="00D5124F">
      <w:t xml:space="preserve">                                                              </w:t>
    </w:r>
    <w:r w:rsidR="00090D16">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90D16"/>
    <w:rsid w:val="000A49F2"/>
    <w:rsid w:val="000F132F"/>
    <w:rsid w:val="000F53A3"/>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85A5A"/>
    <w:rsid w:val="004B10DF"/>
    <w:rsid w:val="004C5BAC"/>
    <w:rsid w:val="004E53B8"/>
    <w:rsid w:val="00506140"/>
    <w:rsid w:val="00530D21"/>
    <w:rsid w:val="00571E8E"/>
    <w:rsid w:val="005855C2"/>
    <w:rsid w:val="005967F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360C2"/>
    <w:rsid w:val="00D41388"/>
    <w:rsid w:val="00D5124F"/>
    <w:rsid w:val="00D53B8C"/>
    <w:rsid w:val="00D63D4B"/>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CB74"/>
  <w15:docId w15:val="{688C3B8F-8137-474A-8F2F-DE431D374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A493A-E679-4920-95A2-FF73DA2CE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dcterms:created xsi:type="dcterms:W3CDTF">2019-09-18T17:38:00Z</dcterms:created>
  <dcterms:modified xsi:type="dcterms:W3CDTF">2019-09-18T17:39:00Z</dcterms:modified>
</cp:coreProperties>
</file>